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00" w:line="428.625" w:lineRule="auto"/>
        <w:rPr>
          <w:rFonts w:ascii="Roboto" w:cs="Roboto" w:eastAsia="Roboto" w:hAnsi="Roboto"/>
          <w:b w:val="1"/>
          <w:color w:val="404040"/>
          <w:sz w:val="24"/>
          <w:szCs w:val="24"/>
        </w:rPr>
      </w:pPr>
      <w:r w:rsidDel="00000000" w:rsidR="00000000" w:rsidRPr="00000000">
        <w:rPr>
          <w:rFonts w:ascii="Roboto" w:cs="Roboto" w:eastAsia="Roboto" w:hAnsi="Roboto"/>
          <w:b w:val="1"/>
          <w:color w:val="404040"/>
          <w:sz w:val="24"/>
          <w:szCs w:val="24"/>
          <w:rtl w:val="0"/>
        </w:rPr>
        <w:t xml:space="preserve">Why Agra is a Smart Choice for Real Estate Investment</w:t>
      </w:r>
    </w:p>
    <w:p w:rsidR="00000000" w:rsidDel="00000000" w:rsidP="00000000" w:rsidRDefault="00000000" w:rsidRPr="00000000" w14:paraId="00000002">
      <w:pPr>
        <w:shd w:fill="ffffff" w:val="clear"/>
        <w:spacing w:after="200" w:before="200" w:line="428.625" w:lineRule="auto"/>
        <w:rPr>
          <w:rFonts w:ascii="Roboto" w:cs="Roboto" w:eastAsia="Roboto" w:hAnsi="Roboto"/>
          <w:color w:val="404040"/>
          <w:sz w:val="24"/>
          <w:szCs w:val="24"/>
        </w:rPr>
      </w:pPr>
      <w:r w:rsidDel="00000000" w:rsidR="00000000" w:rsidRPr="00000000">
        <w:rPr>
          <w:rFonts w:ascii="Roboto" w:cs="Roboto" w:eastAsia="Roboto" w:hAnsi="Roboto"/>
          <w:color w:val="404040"/>
          <w:sz w:val="24"/>
          <w:szCs w:val="24"/>
          <w:rtl w:val="0"/>
        </w:rPr>
        <w:t xml:space="preserve">Agra, the city of the iconic Taj Mahal, is not just a UNESCO World Heritage Site but a burgeoning hotspot for real estate investment. With its unique blend of cultural heritage, strategic location, and rapid urbanization, Agra offers compelling opportunities for investors seeking high returns. Here’s why you should consider investing here:</w:t>
      </w:r>
    </w:p>
    <w:p w:rsidR="00000000" w:rsidDel="00000000" w:rsidP="00000000" w:rsidRDefault="00000000" w:rsidRPr="00000000" w14:paraId="00000003">
      <w:pPr>
        <w:pStyle w:val="Heading3"/>
        <w:keepNext w:val="0"/>
        <w:keepLines w:val="0"/>
        <w:shd w:fill="ffffff" w:val="clear"/>
        <w:spacing w:after="200" w:before="280" w:line="360" w:lineRule="auto"/>
        <w:rPr>
          <w:rFonts w:ascii="Roboto" w:cs="Roboto" w:eastAsia="Roboto" w:hAnsi="Roboto"/>
          <w:b w:val="1"/>
          <w:color w:val="404040"/>
          <w:sz w:val="27"/>
          <w:szCs w:val="27"/>
        </w:rPr>
      </w:pPr>
      <w:bookmarkStart w:colFirst="0" w:colLast="0" w:name="_g6mi4jxwrp8g" w:id="0"/>
      <w:bookmarkEnd w:id="0"/>
      <w:r w:rsidDel="00000000" w:rsidR="00000000" w:rsidRPr="00000000">
        <w:rPr>
          <w:rFonts w:ascii="Roboto" w:cs="Roboto" w:eastAsia="Roboto" w:hAnsi="Roboto"/>
          <w:b w:val="1"/>
          <w:color w:val="404040"/>
          <w:sz w:val="27"/>
          <w:szCs w:val="27"/>
          <w:rtl w:val="0"/>
        </w:rPr>
        <w:t xml:space="preserve">1. Tourism-Driven Demand</w:t>
      </w:r>
    </w:p>
    <w:p w:rsidR="00000000" w:rsidDel="00000000" w:rsidP="00000000" w:rsidRDefault="00000000" w:rsidRPr="00000000" w14:paraId="00000004">
      <w:pPr>
        <w:shd w:fill="ffffff" w:val="clear"/>
        <w:spacing w:after="200" w:before="200" w:line="428.625" w:lineRule="auto"/>
        <w:rPr>
          <w:rFonts w:ascii="Roboto" w:cs="Roboto" w:eastAsia="Roboto" w:hAnsi="Roboto"/>
          <w:color w:val="404040"/>
          <w:sz w:val="24"/>
          <w:szCs w:val="24"/>
        </w:rPr>
      </w:pPr>
      <w:r w:rsidDel="00000000" w:rsidR="00000000" w:rsidRPr="00000000">
        <w:rPr>
          <w:rFonts w:ascii="Roboto" w:cs="Roboto" w:eastAsia="Roboto" w:hAnsi="Roboto"/>
          <w:color w:val="404040"/>
          <w:sz w:val="24"/>
          <w:szCs w:val="24"/>
          <w:rtl w:val="0"/>
        </w:rPr>
        <w:t xml:space="preserve">Agra attracts over </w:t>
      </w:r>
      <w:r w:rsidDel="00000000" w:rsidR="00000000" w:rsidRPr="00000000">
        <w:rPr>
          <w:rFonts w:ascii="Roboto" w:cs="Roboto" w:eastAsia="Roboto" w:hAnsi="Roboto"/>
          <w:b w:val="1"/>
          <w:color w:val="404040"/>
          <w:sz w:val="24"/>
          <w:szCs w:val="24"/>
          <w:rtl w:val="0"/>
        </w:rPr>
        <w:t xml:space="preserve">8-10 million visitors annually</w:t>
      </w:r>
      <w:r w:rsidDel="00000000" w:rsidR="00000000" w:rsidRPr="00000000">
        <w:rPr>
          <w:rFonts w:ascii="Roboto" w:cs="Roboto" w:eastAsia="Roboto" w:hAnsi="Roboto"/>
          <w:color w:val="404040"/>
          <w:sz w:val="24"/>
          <w:szCs w:val="24"/>
          <w:rtl w:val="0"/>
        </w:rPr>
        <w:t xml:space="preserve">, including a significant number of international tourists. The Taj Mahal alone generates massive footfall, creating consistent demand for hospitality ventures, vacation rentals, and commercial spaces. Beyond the Taj, attractions like Agra Fort, Fatehpur Sikri, and Mehtab Bagh further boost tourism. Investors can capitalize on short-term rental platforms like Airbnb, which thrive here, offering rental yields of </w:t>
      </w:r>
      <w:r w:rsidDel="00000000" w:rsidR="00000000" w:rsidRPr="00000000">
        <w:rPr>
          <w:rFonts w:ascii="Roboto" w:cs="Roboto" w:eastAsia="Roboto" w:hAnsi="Roboto"/>
          <w:b w:val="1"/>
          <w:color w:val="404040"/>
          <w:sz w:val="24"/>
          <w:szCs w:val="24"/>
          <w:rtl w:val="0"/>
        </w:rPr>
        <w:t xml:space="preserve">8-10%</w:t>
      </w:r>
      <w:r w:rsidDel="00000000" w:rsidR="00000000" w:rsidRPr="00000000">
        <w:rPr>
          <w:rFonts w:ascii="Roboto" w:cs="Roboto" w:eastAsia="Roboto" w:hAnsi="Roboto"/>
          <w:color w:val="404040"/>
          <w:sz w:val="24"/>
          <w:szCs w:val="24"/>
          <w:rtl w:val="0"/>
        </w:rPr>
        <w:t xml:space="preserve"> in prime areas. Additionally, the government’s focus on promoting tourism infrastructure, such as the upcoming Taj West End project and upgraded heritage walks, ensures sustained growth in this sector.</w:t>
      </w:r>
    </w:p>
    <w:p w:rsidR="00000000" w:rsidDel="00000000" w:rsidP="00000000" w:rsidRDefault="00000000" w:rsidRPr="00000000" w14:paraId="00000005">
      <w:pPr>
        <w:pStyle w:val="Heading3"/>
        <w:keepNext w:val="0"/>
        <w:keepLines w:val="0"/>
        <w:shd w:fill="ffffff" w:val="clear"/>
        <w:spacing w:after="200" w:before="280" w:line="360" w:lineRule="auto"/>
        <w:rPr>
          <w:rFonts w:ascii="Roboto" w:cs="Roboto" w:eastAsia="Roboto" w:hAnsi="Roboto"/>
          <w:b w:val="1"/>
          <w:color w:val="404040"/>
          <w:sz w:val="27"/>
          <w:szCs w:val="27"/>
        </w:rPr>
      </w:pPr>
      <w:bookmarkStart w:colFirst="0" w:colLast="0" w:name="_ipx3q9u8l6v3" w:id="1"/>
      <w:bookmarkEnd w:id="1"/>
      <w:r w:rsidDel="00000000" w:rsidR="00000000" w:rsidRPr="00000000">
        <w:rPr>
          <w:rFonts w:ascii="Roboto" w:cs="Roboto" w:eastAsia="Roboto" w:hAnsi="Roboto"/>
          <w:b w:val="1"/>
          <w:color w:val="404040"/>
          <w:sz w:val="27"/>
          <w:szCs w:val="27"/>
          <w:rtl w:val="0"/>
        </w:rPr>
        <w:t xml:space="preserve">2. Infrastructure Revolution</w:t>
      </w:r>
    </w:p>
    <w:p w:rsidR="00000000" w:rsidDel="00000000" w:rsidP="00000000" w:rsidRDefault="00000000" w:rsidRPr="00000000" w14:paraId="00000006">
      <w:pPr>
        <w:shd w:fill="ffffff" w:val="clear"/>
        <w:spacing w:after="200" w:before="200" w:line="428.625" w:lineRule="auto"/>
        <w:rPr>
          <w:rFonts w:ascii="Roboto" w:cs="Roboto" w:eastAsia="Roboto" w:hAnsi="Roboto"/>
          <w:color w:val="404040"/>
          <w:sz w:val="24"/>
          <w:szCs w:val="24"/>
        </w:rPr>
      </w:pPr>
      <w:r w:rsidDel="00000000" w:rsidR="00000000" w:rsidRPr="00000000">
        <w:rPr>
          <w:rFonts w:ascii="Roboto" w:cs="Roboto" w:eastAsia="Roboto" w:hAnsi="Roboto"/>
          <w:color w:val="404040"/>
          <w:sz w:val="24"/>
          <w:szCs w:val="24"/>
          <w:rtl w:val="0"/>
        </w:rPr>
        <w:t xml:space="preserve">Agra is undergoing a transformative infrastructure overhaul. The </w:t>
      </w:r>
      <w:r w:rsidDel="00000000" w:rsidR="00000000" w:rsidRPr="00000000">
        <w:rPr>
          <w:rFonts w:ascii="Roboto" w:cs="Roboto" w:eastAsia="Roboto" w:hAnsi="Roboto"/>
          <w:b w:val="1"/>
          <w:color w:val="404040"/>
          <w:sz w:val="24"/>
          <w:szCs w:val="24"/>
          <w:rtl w:val="0"/>
        </w:rPr>
        <w:t xml:space="preserve">Agra Metro</w:t>
      </w:r>
      <w:r w:rsidDel="00000000" w:rsidR="00000000" w:rsidRPr="00000000">
        <w:rPr>
          <w:rFonts w:ascii="Roboto" w:cs="Roboto" w:eastAsia="Roboto" w:hAnsi="Roboto"/>
          <w:color w:val="404040"/>
          <w:sz w:val="24"/>
          <w:szCs w:val="24"/>
          <w:rtl w:val="0"/>
        </w:rPr>
        <w:t xml:space="preserve">, with its two corridors connecting major tourist and residential hubs, is set to operationalize by 2025, easing congestion and improving accessibility. The city’s inclusion in the </w:t>
      </w:r>
      <w:r w:rsidDel="00000000" w:rsidR="00000000" w:rsidRPr="00000000">
        <w:rPr>
          <w:rFonts w:ascii="Roboto" w:cs="Roboto" w:eastAsia="Roboto" w:hAnsi="Roboto"/>
          <w:b w:val="1"/>
          <w:color w:val="404040"/>
          <w:sz w:val="24"/>
          <w:szCs w:val="24"/>
          <w:rtl w:val="0"/>
        </w:rPr>
        <w:t xml:space="preserve">Delhi-Mumbai Industrial Corridor (DMIC)</w:t>
      </w:r>
      <w:r w:rsidDel="00000000" w:rsidR="00000000" w:rsidRPr="00000000">
        <w:rPr>
          <w:rFonts w:ascii="Roboto" w:cs="Roboto" w:eastAsia="Roboto" w:hAnsi="Roboto"/>
          <w:color w:val="404040"/>
          <w:sz w:val="24"/>
          <w:szCs w:val="24"/>
          <w:rtl w:val="0"/>
        </w:rPr>
        <w:t xml:space="preserve"> and the </w:t>
      </w:r>
      <w:r w:rsidDel="00000000" w:rsidR="00000000" w:rsidRPr="00000000">
        <w:rPr>
          <w:rFonts w:ascii="Roboto" w:cs="Roboto" w:eastAsia="Roboto" w:hAnsi="Roboto"/>
          <w:b w:val="1"/>
          <w:color w:val="404040"/>
          <w:sz w:val="24"/>
          <w:szCs w:val="24"/>
          <w:rtl w:val="0"/>
        </w:rPr>
        <w:t xml:space="preserve">Delhi-Kolkata Industrial Corridor</w:t>
      </w:r>
      <w:r w:rsidDel="00000000" w:rsidR="00000000" w:rsidRPr="00000000">
        <w:rPr>
          <w:rFonts w:ascii="Roboto" w:cs="Roboto" w:eastAsia="Roboto" w:hAnsi="Roboto"/>
          <w:color w:val="404040"/>
          <w:sz w:val="24"/>
          <w:szCs w:val="24"/>
          <w:rtl w:val="0"/>
        </w:rPr>
        <w:t xml:space="preserve"> is attracting manufacturing and logistics hubs, boosting employment and housing demand. Enhanced connectivity via the Yamuna Expressway (linking Delhi and Agra in just 2.5 hours) and the upcoming </w:t>
      </w:r>
      <w:r w:rsidDel="00000000" w:rsidR="00000000" w:rsidRPr="00000000">
        <w:rPr>
          <w:rFonts w:ascii="Roboto" w:cs="Roboto" w:eastAsia="Roboto" w:hAnsi="Roboto"/>
          <w:b w:val="1"/>
          <w:color w:val="404040"/>
          <w:sz w:val="24"/>
          <w:szCs w:val="24"/>
          <w:rtl w:val="0"/>
        </w:rPr>
        <w:t xml:space="preserve">Jewar International Airport</w:t>
      </w:r>
      <w:r w:rsidDel="00000000" w:rsidR="00000000" w:rsidRPr="00000000">
        <w:rPr>
          <w:rFonts w:ascii="Roboto" w:cs="Roboto" w:eastAsia="Roboto" w:hAnsi="Roboto"/>
          <w:color w:val="404040"/>
          <w:sz w:val="24"/>
          <w:szCs w:val="24"/>
          <w:rtl w:val="0"/>
        </w:rPr>
        <w:t xml:space="preserve"> (90 km away) positions Agra as a strategic node in the National Capital Region (NCR).</w:t>
      </w:r>
    </w:p>
    <w:p w:rsidR="00000000" w:rsidDel="00000000" w:rsidP="00000000" w:rsidRDefault="00000000" w:rsidRPr="00000000" w14:paraId="00000007">
      <w:pPr>
        <w:pStyle w:val="Heading3"/>
        <w:keepNext w:val="0"/>
        <w:keepLines w:val="0"/>
        <w:shd w:fill="ffffff" w:val="clear"/>
        <w:spacing w:after="200" w:before="280" w:line="360" w:lineRule="auto"/>
        <w:rPr>
          <w:rFonts w:ascii="Roboto" w:cs="Roboto" w:eastAsia="Roboto" w:hAnsi="Roboto"/>
          <w:b w:val="1"/>
          <w:color w:val="404040"/>
          <w:sz w:val="27"/>
          <w:szCs w:val="27"/>
        </w:rPr>
      </w:pPr>
      <w:bookmarkStart w:colFirst="0" w:colLast="0" w:name="_bk4unf32qdoq" w:id="2"/>
      <w:bookmarkEnd w:id="2"/>
      <w:r w:rsidDel="00000000" w:rsidR="00000000" w:rsidRPr="00000000">
        <w:rPr>
          <w:rFonts w:ascii="Roboto" w:cs="Roboto" w:eastAsia="Roboto" w:hAnsi="Roboto"/>
          <w:b w:val="1"/>
          <w:color w:val="404040"/>
          <w:sz w:val="27"/>
          <w:szCs w:val="27"/>
          <w:rtl w:val="0"/>
        </w:rPr>
        <w:t xml:space="preserve">3. Affordable Entry with High Appreciation Potential</w:t>
      </w:r>
    </w:p>
    <w:p w:rsidR="00000000" w:rsidDel="00000000" w:rsidP="00000000" w:rsidRDefault="00000000" w:rsidRPr="00000000" w14:paraId="00000008">
      <w:pPr>
        <w:shd w:fill="ffffff" w:val="clear"/>
        <w:spacing w:after="200" w:before="200" w:line="428.625" w:lineRule="auto"/>
        <w:rPr>
          <w:rFonts w:ascii="Roboto" w:cs="Roboto" w:eastAsia="Roboto" w:hAnsi="Roboto"/>
          <w:color w:val="404040"/>
          <w:sz w:val="24"/>
          <w:szCs w:val="24"/>
        </w:rPr>
      </w:pPr>
      <w:r w:rsidDel="00000000" w:rsidR="00000000" w:rsidRPr="00000000">
        <w:rPr>
          <w:rFonts w:ascii="Roboto" w:cs="Roboto" w:eastAsia="Roboto" w:hAnsi="Roboto"/>
          <w:color w:val="404040"/>
          <w:sz w:val="24"/>
          <w:szCs w:val="24"/>
          <w:rtl w:val="0"/>
        </w:rPr>
        <w:t xml:space="preserve">Compared to skyrocketing prices in Delhi-NCR or Mumbai, Agra’s real estate remains affordable, with residential rates starting at </w:t>
      </w:r>
      <w:r w:rsidDel="00000000" w:rsidR="00000000" w:rsidRPr="00000000">
        <w:rPr>
          <w:rFonts w:ascii="Roboto" w:cs="Roboto" w:eastAsia="Roboto" w:hAnsi="Roboto"/>
          <w:b w:val="1"/>
          <w:color w:val="404040"/>
          <w:sz w:val="24"/>
          <w:szCs w:val="24"/>
          <w:rtl w:val="0"/>
        </w:rPr>
        <w:t xml:space="preserve">₹3,500–5,000 per sq. ft.</w:t>
      </w:r>
      <w:r w:rsidDel="00000000" w:rsidR="00000000" w:rsidRPr="00000000">
        <w:rPr>
          <w:rFonts w:ascii="Roboto" w:cs="Roboto" w:eastAsia="Roboto" w:hAnsi="Roboto"/>
          <w:color w:val="404040"/>
          <w:sz w:val="24"/>
          <w:szCs w:val="24"/>
          <w:rtl w:val="0"/>
        </w:rPr>
        <w:t xml:space="preserve"> in emerging areas like Taj Nagri and Sikandra. This affordability, coupled with rising demand for modern apartments, gated communities, and plotted developments, ensures significant capital appreciation. For instance, properties near the Agra Metro stations have already seen a </w:t>
      </w:r>
      <w:r w:rsidDel="00000000" w:rsidR="00000000" w:rsidRPr="00000000">
        <w:rPr>
          <w:rFonts w:ascii="Roboto" w:cs="Roboto" w:eastAsia="Roboto" w:hAnsi="Roboto"/>
          <w:b w:val="1"/>
          <w:color w:val="404040"/>
          <w:sz w:val="24"/>
          <w:szCs w:val="24"/>
          <w:rtl w:val="0"/>
        </w:rPr>
        <w:t xml:space="preserve">15-20% price surge</w:t>
      </w:r>
      <w:r w:rsidDel="00000000" w:rsidR="00000000" w:rsidRPr="00000000">
        <w:rPr>
          <w:rFonts w:ascii="Roboto" w:cs="Roboto" w:eastAsia="Roboto" w:hAnsi="Roboto"/>
          <w:color w:val="404040"/>
          <w:sz w:val="24"/>
          <w:szCs w:val="24"/>
          <w:rtl w:val="0"/>
        </w:rPr>
        <w:t xml:space="preserve"> in the last two years.</w:t>
      </w:r>
    </w:p>
    <w:p w:rsidR="00000000" w:rsidDel="00000000" w:rsidP="00000000" w:rsidRDefault="00000000" w:rsidRPr="00000000" w14:paraId="00000009">
      <w:pPr>
        <w:pStyle w:val="Heading3"/>
        <w:keepNext w:val="0"/>
        <w:keepLines w:val="0"/>
        <w:shd w:fill="ffffff" w:val="clear"/>
        <w:spacing w:after="200" w:before="280" w:line="360" w:lineRule="auto"/>
        <w:rPr>
          <w:rFonts w:ascii="Roboto" w:cs="Roboto" w:eastAsia="Roboto" w:hAnsi="Roboto"/>
          <w:b w:val="1"/>
          <w:color w:val="404040"/>
          <w:sz w:val="27"/>
          <w:szCs w:val="27"/>
        </w:rPr>
      </w:pPr>
      <w:bookmarkStart w:colFirst="0" w:colLast="0" w:name="_biqipdcckqx5" w:id="3"/>
      <w:bookmarkEnd w:id="3"/>
      <w:r w:rsidDel="00000000" w:rsidR="00000000" w:rsidRPr="00000000">
        <w:rPr>
          <w:rFonts w:ascii="Roboto" w:cs="Roboto" w:eastAsia="Roboto" w:hAnsi="Roboto"/>
          <w:b w:val="1"/>
          <w:color w:val="404040"/>
          <w:sz w:val="27"/>
          <w:szCs w:val="27"/>
          <w:rtl w:val="0"/>
        </w:rPr>
        <w:t xml:space="preserve">4. Strategic Growth Corridor</w:t>
      </w:r>
    </w:p>
    <w:p w:rsidR="00000000" w:rsidDel="00000000" w:rsidP="00000000" w:rsidRDefault="00000000" w:rsidRPr="00000000" w14:paraId="0000000A">
      <w:pPr>
        <w:shd w:fill="ffffff" w:val="clear"/>
        <w:spacing w:after="200" w:before="200" w:line="428.625" w:lineRule="auto"/>
        <w:rPr>
          <w:rFonts w:ascii="Roboto" w:cs="Roboto" w:eastAsia="Roboto" w:hAnsi="Roboto"/>
          <w:color w:val="404040"/>
          <w:sz w:val="24"/>
          <w:szCs w:val="24"/>
        </w:rPr>
      </w:pPr>
      <w:r w:rsidDel="00000000" w:rsidR="00000000" w:rsidRPr="00000000">
        <w:rPr>
          <w:rFonts w:ascii="Roboto" w:cs="Roboto" w:eastAsia="Roboto" w:hAnsi="Roboto"/>
          <w:color w:val="404040"/>
          <w:sz w:val="24"/>
          <w:szCs w:val="24"/>
          <w:rtl w:val="0"/>
        </w:rPr>
        <w:t xml:space="preserve">Agra’s proximity to the Yamuna Expressway and the proposed </w:t>
      </w:r>
      <w:r w:rsidDel="00000000" w:rsidR="00000000" w:rsidRPr="00000000">
        <w:rPr>
          <w:rFonts w:ascii="Roboto" w:cs="Roboto" w:eastAsia="Roboto" w:hAnsi="Roboto"/>
          <w:b w:val="1"/>
          <w:color w:val="404040"/>
          <w:sz w:val="24"/>
          <w:szCs w:val="24"/>
          <w:rtl w:val="0"/>
        </w:rPr>
        <w:t xml:space="preserve">Agra-Lucknow Expressway Extension</w:t>
      </w:r>
      <w:r w:rsidDel="00000000" w:rsidR="00000000" w:rsidRPr="00000000">
        <w:rPr>
          <w:rFonts w:ascii="Roboto" w:cs="Roboto" w:eastAsia="Roboto" w:hAnsi="Roboto"/>
          <w:color w:val="404040"/>
          <w:sz w:val="24"/>
          <w:szCs w:val="24"/>
          <w:rtl w:val="0"/>
        </w:rPr>
        <w:t xml:space="preserve"> makes it a critical growth corridor. The development of </w:t>
      </w:r>
      <w:r w:rsidDel="00000000" w:rsidR="00000000" w:rsidRPr="00000000">
        <w:rPr>
          <w:rFonts w:ascii="Roboto" w:cs="Roboto" w:eastAsia="Roboto" w:hAnsi="Roboto"/>
          <w:b w:val="1"/>
          <w:color w:val="404040"/>
          <w:sz w:val="24"/>
          <w:szCs w:val="24"/>
          <w:rtl w:val="0"/>
        </w:rPr>
        <w:t xml:space="preserve">Integrated Industrial Townships</w:t>
      </w:r>
      <w:r w:rsidDel="00000000" w:rsidR="00000000" w:rsidRPr="00000000">
        <w:rPr>
          <w:rFonts w:ascii="Roboto" w:cs="Roboto" w:eastAsia="Roboto" w:hAnsi="Roboto"/>
          <w:color w:val="404040"/>
          <w:sz w:val="24"/>
          <w:szCs w:val="24"/>
          <w:rtl w:val="0"/>
        </w:rPr>
        <w:t xml:space="preserve"> and IT parks, such as the Agra IT City, is diversifying the economy beyond tourism. This industrial expansion is expected to create </w:t>
      </w:r>
      <w:r w:rsidDel="00000000" w:rsidR="00000000" w:rsidRPr="00000000">
        <w:rPr>
          <w:rFonts w:ascii="Roboto" w:cs="Roboto" w:eastAsia="Roboto" w:hAnsi="Roboto"/>
          <w:b w:val="1"/>
          <w:color w:val="404040"/>
          <w:sz w:val="24"/>
          <w:szCs w:val="24"/>
          <w:rtl w:val="0"/>
        </w:rPr>
        <w:t xml:space="preserve">50,000+ jobs</w:t>
      </w:r>
      <w:r w:rsidDel="00000000" w:rsidR="00000000" w:rsidRPr="00000000">
        <w:rPr>
          <w:rFonts w:ascii="Roboto" w:cs="Roboto" w:eastAsia="Roboto" w:hAnsi="Roboto"/>
          <w:color w:val="404040"/>
          <w:sz w:val="24"/>
          <w:szCs w:val="24"/>
          <w:rtl w:val="0"/>
        </w:rPr>
        <w:t xml:space="preserve"> over the next decade, driving demand for affordable housing and commercial spaces in suburbs like Dayal Bagh and Kamla Nagar.</w:t>
      </w:r>
    </w:p>
    <w:p w:rsidR="00000000" w:rsidDel="00000000" w:rsidP="00000000" w:rsidRDefault="00000000" w:rsidRPr="00000000" w14:paraId="0000000B">
      <w:pPr>
        <w:pStyle w:val="Heading3"/>
        <w:keepNext w:val="0"/>
        <w:keepLines w:val="0"/>
        <w:shd w:fill="ffffff" w:val="clear"/>
        <w:spacing w:after="200" w:before="280" w:line="360" w:lineRule="auto"/>
        <w:rPr>
          <w:rFonts w:ascii="Roboto" w:cs="Roboto" w:eastAsia="Roboto" w:hAnsi="Roboto"/>
          <w:b w:val="1"/>
          <w:color w:val="404040"/>
          <w:sz w:val="27"/>
          <w:szCs w:val="27"/>
        </w:rPr>
      </w:pPr>
      <w:bookmarkStart w:colFirst="0" w:colLast="0" w:name="_jjhj1do9sysw" w:id="4"/>
      <w:bookmarkEnd w:id="4"/>
      <w:r w:rsidDel="00000000" w:rsidR="00000000" w:rsidRPr="00000000">
        <w:rPr>
          <w:rFonts w:ascii="Roboto" w:cs="Roboto" w:eastAsia="Roboto" w:hAnsi="Roboto"/>
          <w:b w:val="1"/>
          <w:color w:val="404040"/>
          <w:sz w:val="27"/>
          <w:szCs w:val="27"/>
          <w:rtl w:val="0"/>
        </w:rPr>
        <w:t xml:space="preserve">5. Cultural Legacy &amp; Stable Appreciation</w:t>
      </w:r>
    </w:p>
    <w:p w:rsidR="00000000" w:rsidDel="00000000" w:rsidP="00000000" w:rsidRDefault="00000000" w:rsidRPr="00000000" w14:paraId="0000000C">
      <w:pPr>
        <w:shd w:fill="ffffff" w:val="clear"/>
        <w:spacing w:after="200" w:before="200" w:line="428.625" w:lineRule="auto"/>
        <w:rPr>
          <w:rFonts w:ascii="Roboto" w:cs="Roboto" w:eastAsia="Roboto" w:hAnsi="Roboto"/>
          <w:color w:val="404040"/>
          <w:sz w:val="24"/>
          <w:szCs w:val="24"/>
        </w:rPr>
      </w:pPr>
      <w:r w:rsidDel="00000000" w:rsidR="00000000" w:rsidRPr="00000000">
        <w:rPr>
          <w:rFonts w:ascii="Roboto" w:cs="Roboto" w:eastAsia="Roboto" w:hAnsi="Roboto"/>
          <w:color w:val="404040"/>
          <w:sz w:val="24"/>
          <w:szCs w:val="24"/>
          <w:rtl w:val="0"/>
        </w:rPr>
        <w:t xml:space="preserve">Investing in heritage zones near protected monuments offers long-term stability. The Archaeological Survey of India (ASI) restricts construction in these areas, preserving exclusivity and ensuring premium pricing. Properties in upscale locales like Civil Lines and Sadar Bazaar, known for their colonial-era charm, have consistently delivered </w:t>
      </w:r>
      <w:r w:rsidDel="00000000" w:rsidR="00000000" w:rsidRPr="00000000">
        <w:rPr>
          <w:rFonts w:ascii="Roboto" w:cs="Roboto" w:eastAsia="Roboto" w:hAnsi="Roboto"/>
          <w:b w:val="1"/>
          <w:color w:val="404040"/>
          <w:sz w:val="24"/>
          <w:szCs w:val="24"/>
          <w:rtl w:val="0"/>
        </w:rPr>
        <w:t xml:space="preserve">6-8% annual appreciation</w:t>
      </w:r>
      <w:r w:rsidDel="00000000" w:rsidR="00000000" w:rsidRPr="00000000">
        <w:rPr>
          <w:rFonts w:ascii="Roboto" w:cs="Roboto" w:eastAsia="Roboto" w:hAnsi="Roboto"/>
          <w:color w:val="404040"/>
          <w:sz w:val="24"/>
          <w:szCs w:val="24"/>
          <w:rtl w:val="0"/>
        </w:rPr>
        <w:t xml:space="preserve">, outperforming many metro markets.</w:t>
      </w:r>
    </w:p>
    <w:p w:rsidR="00000000" w:rsidDel="00000000" w:rsidP="00000000" w:rsidRDefault="00000000" w:rsidRPr="00000000" w14:paraId="0000000D">
      <w:pPr>
        <w:pStyle w:val="Heading3"/>
        <w:keepNext w:val="0"/>
        <w:keepLines w:val="0"/>
        <w:shd w:fill="ffffff" w:val="clear"/>
        <w:spacing w:after="200" w:before="280" w:line="360" w:lineRule="auto"/>
        <w:rPr>
          <w:rFonts w:ascii="Roboto" w:cs="Roboto" w:eastAsia="Roboto" w:hAnsi="Roboto"/>
          <w:b w:val="1"/>
          <w:color w:val="404040"/>
          <w:sz w:val="27"/>
          <w:szCs w:val="27"/>
        </w:rPr>
      </w:pPr>
      <w:bookmarkStart w:colFirst="0" w:colLast="0" w:name="_olp0okhmg5s" w:id="5"/>
      <w:bookmarkEnd w:id="5"/>
      <w:r w:rsidDel="00000000" w:rsidR="00000000" w:rsidRPr="00000000">
        <w:rPr>
          <w:rFonts w:ascii="Roboto" w:cs="Roboto" w:eastAsia="Roboto" w:hAnsi="Roboto"/>
          <w:b w:val="1"/>
          <w:color w:val="404040"/>
          <w:sz w:val="27"/>
          <w:szCs w:val="27"/>
          <w:rtl w:val="0"/>
        </w:rPr>
        <w:t xml:space="preserve">6. Government Incentives</w:t>
      </w:r>
    </w:p>
    <w:p w:rsidR="00000000" w:rsidDel="00000000" w:rsidP="00000000" w:rsidRDefault="00000000" w:rsidRPr="00000000" w14:paraId="0000000E">
      <w:pPr>
        <w:shd w:fill="ffffff" w:val="clear"/>
        <w:spacing w:after="200" w:before="200" w:line="428.625" w:lineRule="auto"/>
        <w:rPr>
          <w:rFonts w:ascii="Roboto" w:cs="Roboto" w:eastAsia="Roboto" w:hAnsi="Roboto"/>
          <w:color w:val="404040"/>
          <w:sz w:val="24"/>
          <w:szCs w:val="24"/>
        </w:rPr>
      </w:pPr>
      <w:r w:rsidDel="00000000" w:rsidR="00000000" w:rsidRPr="00000000">
        <w:rPr>
          <w:rFonts w:ascii="Roboto" w:cs="Roboto" w:eastAsia="Roboto" w:hAnsi="Roboto"/>
          <w:color w:val="404040"/>
          <w:sz w:val="24"/>
          <w:szCs w:val="24"/>
          <w:rtl w:val="0"/>
        </w:rPr>
        <w:t xml:space="preserve">Uttar Pradesh’s policies, such as subsidies for affordable housing and tax rebates for heritage conservation projects, further enhance Agra’s appeal. The Smart City Mission has also allocated funds for improved sanitation, solar energy integration, and digital infrastructure, elevating the city’s livability.</w:t>
      </w:r>
    </w:p>
    <w:p w:rsidR="00000000" w:rsidDel="00000000" w:rsidP="00000000" w:rsidRDefault="00000000" w:rsidRPr="00000000" w14:paraId="0000000F">
      <w:pPr>
        <w:pStyle w:val="Heading3"/>
        <w:keepNext w:val="0"/>
        <w:keepLines w:val="0"/>
        <w:shd w:fill="ffffff" w:val="clear"/>
        <w:spacing w:after="200" w:before="280" w:line="360" w:lineRule="auto"/>
        <w:rPr>
          <w:rFonts w:ascii="Roboto" w:cs="Roboto" w:eastAsia="Roboto" w:hAnsi="Roboto"/>
          <w:b w:val="1"/>
          <w:color w:val="404040"/>
          <w:sz w:val="27"/>
          <w:szCs w:val="27"/>
        </w:rPr>
      </w:pPr>
      <w:bookmarkStart w:colFirst="0" w:colLast="0" w:name="_p1p735d29ha3" w:id="6"/>
      <w:bookmarkEnd w:id="6"/>
      <w:r w:rsidDel="00000000" w:rsidR="00000000" w:rsidRPr="00000000">
        <w:rPr>
          <w:rFonts w:ascii="Roboto" w:cs="Roboto" w:eastAsia="Roboto" w:hAnsi="Roboto"/>
          <w:b w:val="1"/>
          <w:color w:val="404040"/>
          <w:sz w:val="27"/>
          <w:szCs w:val="27"/>
          <w:rtl w:val="0"/>
        </w:rPr>
        <w:t xml:space="preserve">The Bottom Line</w:t>
      </w:r>
    </w:p>
    <w:p w:rsidR="00000000" w:rsidDel="00000000" w:rsidP="00000000" w:rsidRDefault="00000000" w:rsidRPr="00000000" w14:paraId="00000010">
      <w:pPr>
        <w:shd w:fill="ffffff" w:val="clear"/>
        <w:spacing w:after="200" w:before="200" w:line="428.625" w:lineRule="auto"/>
        <w:rPr>
          <w:rFonts w:ascii="Roboto" w:cs="Roboto" w:eastAsia="Roboto" w:hAnsi="Roboto"/>
          <w:color w:val="404040"/>
          <w:sz w:val="24"/>
          <w:szCs w:val="24"/>
        </w:rPr>
      </w:pPr>
      <w:r w:rsidDel="00000000" w:rsidR="00000000" w:rsidRPr="00000000">
        <w:rPr>
          <w:rFonts w:ascii="Roboto" w:cs="Roboto" w:eastAsia="Roboto" w:hAnsi="Roboto"/>
          <w:color w:val="404040"/>
          <w:sz w:val="24"/>
          <w:szCs w:val="24"/>
          <w:rtl w:val="0"/>
        </w:rPr>
        <w:t xml:space="preserve">Agra’s unique position as a cultural gem, combined with infrastructural upgrades and economic diversification, makes it a low-risk, high-reward investment destination. Whether you’re targeting short-term rental income, commercial leasing, or long-term capital gains, Agra’s real estate market offers a balanced portfolio opportunity. With urbanization accelerating and tourism rebounding post-pandemic, now is the ideal time to invest in this historic city before prices peak.</w:t>
      </w:r>
    </w:p>
    <w:p w:rsidR="00000000" w:rsidDel="00000000" w:rsidP="00000000" w:rsidRDefault="00000000" w:rsidRPr="00000000" w14:paraId="0000001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