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00" w:before="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How to Calculate Your Real Estate Affordability: A Step-by-Step Guide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Buying a home is a milestone, but overextending financially can lead to stress and instability. Calculating affordability isn’t just about loan eligibility—it’s about balancing your income, expenses, and lifestyle to find a property that fits your budget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comfortably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Here’s how to determine what you can afford: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7rvjqupguth0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 Assess Your Income &amp; Debt-to-Income Ratio (DTI)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Your gross monthly income (before taxes) is the starting point. Lenders typically use the 28/36 rule to gauge affordability: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2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28% Front-End Ratio: No more than 28% of your income should go toward housing costs (EMI + property taxes + insurance + maintenance).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2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36% Back-End Ratio: Total debt (housing + existing loans like car/student loans + credit cards) shouldn’t exceed 36% of your income.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Example:</w:t>
        <w:br w:type="textWrapping"/>
        <w:t xml:space="preserve">If your monthly income is ₹1,00,000: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numPr>
          <w:ilvl w:val="0"/>
          <w:numId w:val="3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Max housing cost = ₹28,000/month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numPr>
          <w:ilvl w:val="0"/>
          <w:numId w:val="3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Max total debt = ₹36,000/month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4sgucggi1mw2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 Calculate Your Down Payment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Most lenders require a down payment of 10–20% of the property’s value. A higher down payment reduces your loan amount and EMI burden.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numPr>
          <w:ilvl w:val="0"/>
          <w:numId w:val="4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Savings Goal: Aim to save at least 20% to avoid additional costs like Private Mortgage Insurance (PMI) in some markets.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0"/>
          <w:numId w:val="4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Emergency Fund: Ensure you retain 3–6 months’ worth of living expenses post-down payment.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66ar9tgxoswk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3. Estimate Additional Costs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Beyond the property price, factor in these expenses: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numPr>
          <w:ilvl w:val="0"/>
          <w:numId w:val="7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Registration &amp; Stamp Duty: 5–10% of the property value (varies by state).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numPr>
          <w:ilvl w:val="0"/>
          <w:numId w:val="7"/>
        </w:numPr>
        <w:shd w:fill="ffffff" w:val="clear"/>
        <w:spacing w:after="0" w:afterAutospacing="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GST: 1–12% for under-construction properties.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numPr>
          <w:ilvl w:val="0"/>
          <w:numId w:val="7"/>
        </w:numPr>
        <w:shd w:fill="ffffff" w:val="clear"/>
        <w:spacing w:after="0" w:afterAutospacing="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Maintenance Charges: ₹2–10/sq. ft. monthly for apartments.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numPr>
          <w:ilvl w:val="0"/>
          <w:numId w:val="7"/>
        </w:numPr>
        <w:shd w:fill="ffffff" w:val="clear"/>
        <w:spacing w:after="0" w:afterAutospacing="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Interior Work: ₹1,000–3,000/sq. ft. for basic to premium finishes.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numPr>
          <w:ilvl w:val="0"/>
          <w:numId w:val="7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Property Insurance: 0.1–0.2% of the property value annually.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color w:val="404040"/>
          <w:sz w:val="27"/>
          <w:szCs w:val="27"/>
        </w:rPr>
      </w:pPr>
      <w:bookmarkStart w:colFirst="0" w:colLast="0" w:name="_o72xfqv8y5bi" w:id="4"/>
      <w:bookmarkEnd w:id="4"/>
      <w:r w:rsidDel="00000000" w:rsidR="00000000" w:rsidRPr="00000000">
        <w:rPr>
          <w:rFonts w:ascii="Roboto" w:cs="Roboto" w:eastAsia="Roboto" w:hAnsi="Roboto"/>
          <w:color w:val="404040"/>
          <w:sz w:val="27"/>
          <w:szCs w:val="27"/>
          <w:rtl w:val="0"/>
        </w:rPr>
        <w:t xml:space="preserve">4. Use the Affordability Formula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i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Total Affordable Price = (Savings for Down Payment) ÷ 20%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(Assuming a 20% down payment)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Example:</w:t>
        <w:br w:type="textWrapping"/>
        <w:t xml:space="preserve">If you’ve saved ₹10 lakh for a down payment:</w:t>
        <w:br w:type="textWrapping"/>
        <w:t xml:space="preserve">Total affordable price = ₹10 lakh ÷ 0.20 = ₹50 lakh.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n59zlpwpfn35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5. Check Loan Eligibility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Banks approve loans based on income, credit score (aim for 750+), and existing liabilities. Use this simple formula:</w:t>
        <w:br w:type="textWrapping"/>
        <w:t xml:space="preserve">Max Loan Amount = (Monthly Income × 36) – Existing EMIs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Example:</w:t>
        <w:br w:type="textWrapping"/>
        <w:t xml:space="preserve">If you earn ₹1,00,000/month and pay ₹15,000 in existing EMIs:</w:t>
        <w:br w:type="textWrapping"/>
        <w:t xml:space="preserve">Max loan EMI = (₹1,00,000 × 0.36) – ₹15,000 = ₹21,000/month.</w:t>
        <w:br w:type="textWrapping"/>
        <w:t xml:space="preserve">For a 20-year loan at 8.5% interest, this translates to a loan of ~₹30 lakh.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8i9hsn6fdbvh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6. Test Affordability with Scenarios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Use online EMI calculators to simulate different loan tenures and interest rates.</w:t>
        <w:br w:type="textWrapping"/>
        <w:t xml:space="preserve">Example: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Loan: ₹40 lakh | Tenure: 20 years | Rate: 8.5%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EMI: ₹34,900/month</w:t>
        <w:br w:type="textWrapping"/>
        <w:t xml:space="preserve">Add property taxes (₹1,000/month) + maintenance (₹3,000/month) = Total housing cost: ₹38,900.</w:t>
        <w:br w:type="textWrapping"/>
        <w:t xml:space="preserve">Ensure this stays below 28% of your income.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nwd26s7ksvk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7. Factor in Future Financial Changes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numPr>
          <w:ilvl w:val="0"/>
          <w:numId w:val="6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Interest Rate Hikes: Can your budget handle a 1–2% rate increase?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numPr>
          <w:ilvl w:val="0"/>
          <w:numId w:val="6"/>
        </w:numPr>
        <w:shd w:fill="ffffff" w:val="clear"/>
        <w:spacing w:after="0" w:afterAutospacing="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Income Stability: Job security, bonuses, or career shifts.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numPr>
          <w:ilvl w:val="0"/>
          <w:numId w:val="6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Life Goals: Marriage, children, or education expenses.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yfm1mnfwih2p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8. Location &amp; Lifestyle Costs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 ₹1 crore home in Mumbai may be a 2BHK, but the same budget buys a villa in a Tier-2 city. Prioritize: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numPr>
          <w:ilvl w:val="0"/>
          <w:numId w:val="5"/>
        </w:numPr>
        <w:shd w:fill="ffffff" w:val="clear"/>
        <w:spacing w:after="0" w:afterAutospacing="0" w:before="20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Commute Costs: Fuel, tolls, or public transport.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numPr>
          <w:ilvl w:val="0"/>
          <w:numId w:val="5"/>
        </w:numPr>
        <w:shd w:fill="ffffff" w:val="clear"/>
        <w:spacing w:after="200" w:before="0" w:beforeAutospacing="0" w:line="360" w:lineRule="auto"/>
        <w:ind w:left="720" w:hanging="360"/>
        <w:rPr/>
      </w:pPr>
      <w:bookmarkStart w:colFirst="0" w:colLast="0" w:name="_8zsz48948hhj" w:id="0"/>
      <w:bookmarkEnd w:id="0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Social Infrastructure: Schools, hospitals, and groceries.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2txbf7nje5mr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Affordability Checklist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404040"/>
          <w:sz w:val="24"/>
          <w:szCs w:val="24"/>
          <w:rtl w:val="0"/>
        </w:rPr>
        <w:t xml:space="preserve">✅ </w:t>
      </w: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Total housing cost ≤ 28% of monthly income.</w:t>
        <w:br w:type="textWrapping"/>
        <w:t xml:space="preserve">✅ Down payment saved without draining emergency funds.</w:t>
        <w:br w:type="textWrapping"/>
        <w:t xml:space="preserve">✅ EMI + existing debts ≤ 36% of income.</w:t>
        <w:br w:type="textWrapping"/>
        <w:t xml:space="preserve">✅ Budget includes registration, taxes, and maintenance.</w:t>
        <w:br w:type="textWrapping"/>
        <w:t xml:space="preserve">✅ Credit score is healthy for loan approval.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hxhnvfymhtgy" w:id="10"/>
      <w:bookmarkEnd w:id="1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The Bottom Line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bookmarkStart w:colFirst="0" w:colLast="0" w:name="_avv6ruxcyi00" w:id="11"/>
      <w:bookmarkEnd w:id="11"/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Affordability isn’t just about what a bank will lend—it’s about what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can comfortably repay without sacrificing financial security. Always leave room for unexpected expenses, and avoid stretching your budget to buy a “dream home” that becomes a financial nightmare. Use tools like EMI calculators, consult a financial advisor, and prioritize long-term stability over short-term aspirations. By crunching the numbers upfront, you’ll invest in a home that enriches your life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your wallet.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bookmarkStart w:colFirst="0" w:colLast="0" w:name="_8zsz48948hhj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